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A28C1" w:rsidRPr="0050648F" w:rsidRDefault="007A28C1" w:rsidP="00BF7F17">
      <w:pPr>
        <w:pStyle w:val="Standaard1"/>
        <w:rPr>
          <w:rFonts w:ascii="Arial" w:hAnsi="Arial" w:cs="Arial"/>
          <w:lang w:val="en-GB"/>
        </w:rPr>
      </w:pPr>
      <w:r w:rsidRPr="0050648F">
        <w:rPr>
          <w:rFonts w:ascii="Arial" w:hAnsi="Arial" w:cs="Arial"/>
          <w:lang w:val="en-GB"/>
        </w:rPr>
        <w:t>Every week we will meet three times for a</w:t>
      </w:r>
      <w:r w:rsidR="002205BC">
        <w:rPr>
          <w:rFonts w:ascii="Arial" w:hAnsi="Arial" w:cs="Arial"/>
          <w:lang w:val="en-GB"/>
        </w:rPr>
        <w:t>:</w:t>
      </w:r>
      <w:r w:rsidRPr="0050648F">
        <w:rPr>
          <w:rFonts w:ascii="Arial" w:hAnsi="Arial" w:cs="Arial"/>
          <w:lang w:val="en-GB"/>
        </w:rPr>
        <w:t xml:space="preserve"> </w:t>
      </w:r>
    </w:p>
    <w:p w:rsidR="007A28C1" w:rsidRDefault="007A28C1" w:rsidP="007A28C1">
      <w:pPr>
        <w:pStyle w:val="Standaard1"/>
        <w:numPr>
          <w:ilvl w:val="0"/>
          <w:numId w:val="1"/>
        </w:numPr>
        <w:rPr>
          <w:rFonts w:ascii="Arial" w:hAnsi="Arial" w:cs="Arial"/>
          <w:lang w:val="en-GB"/>
        </w:rPr>
      </w:pPr>
      <w:r w:rsidRPr="0050648F">
        <w:rPr>
          <w:rFonts w:ascii="Arial" w:hAnsi="Arial" w:cs="Arial"/>
          <w:lang w:val="en-GB"/>
        </w:rPr>
        <w:t>two-hour session.  If you are looking to become a</w:t>
      </w:r>
      <w:r w:rsidR="00D4002A">
        <w:rPr>
          <w:rFonts w:ascii="Arial" w:hAnsi="Arial" w:cs="Arial"/>
          <w:lang w:val="en-GB"/>
        </w:rPr>
        <w:t xml:space="preserve"> more proficient user of Dutch</w:t>
      </w:r>
      <w:r w:rsidRPr="0050648F">
        <w:rPr>
          <w:rFonts w:ascii="Arial" w:hAnsi="Arial" w:cs="Arial"/>
          <w:lang w:val="en-GB"/>
        </w:rPr>
        <w:t>, this is the course for you</w:t>
      </w:r>
      <w:r w:rsidR="00D21E17">
        <w:rPr>
          <w:rFonts w:ascii="Arial" w:hAnsi="Arial" w:cs="Arial"/>
          <w:lang w:val="en-GB"/>
        </w:rPr>
        <w:t>!</w:t>
      </w:r>
    </w:p>
    <w:p w:rsidR="00D21E17" w:rsidRPr="0050648F" w:rsidRDefault="00D21E17" w:rsidP="00D21E17">
      <w:pPr>
        <w:pStyle w:val="Standaard1"/>
        <w:rPr>
          <w:rFonts w:ascii="Arial" w:hAnsi="Arial" w:cs="Arial"/>
          <w:lang w:val="en-GB"/>
        </w:rPr>
      </w:pPr>
      <w:r>
        <w:rPr>
          <w:rFonts w:ascii="Arial" w:hAnsi="Arial" w:cs="Arial"/>
          <w:lang w:val="en-GB"/>
        </w:rPr>
        <w:t xml:space="preserve"> Price : only € 35,- per hour.</w:t>
      </w:r>
    </w:p>
    <w:p w:rsidR="003356BF" w:rsidRPr="00FE1864" w:rsidRDefault="003356BF" w:rsidP="007A28C1">
      <w:pPr>
        <w:pStyle w:val="Standaard1"/>
        <w:ind w:right="118"/>
        <w:rPr>
          <w:lang w:val="en-GB"/>
        </w:rPr>
      </w:pPr>
    </w:p>
    <w:tbl>
      <w:tblPr>
        <w:tblStyle w:val="a"/>
        <w:tblW w:w="9744" w:type="dxa"/>
        <w:tblInd w:w="-115" w:type="dxa"/>
        <w:tblBorders>
          <w:top w:val="single" w:sz="8" w:space="0" w:color="4F81BD"/>
          <w:left w:val="single" w:sz="8" w:space="0" w:color="4F81BD"/>
          <w:bottom w:val="single" w:sz="8" w:space="0" w:color="4F81BD"/>
          <w:right w:val="single" w:sz="8" w:space="0" w:color="4F81BD"/>
        </w:tblBorders>
        <w:tblLayout w:type="fixed"/>
        <w:tblLook w:val="04A0"/>
      </w:tblPr>
      <w:tblGrid>
        <w:gridCol w:w="1150"/>
        <w:gridCol w:w="1350"/>
        <w:gridCol w:w="1334"/>
        <w:gridCol w:w="1027"/>
        <w:gridCol w:w="1663"/>
        <w:gridCol w:w="1365"/>
        <w:gridCol w:w="1855"/>
      </w:tblGrid>
      <w:tr w:rsidR="003356BF" w:rsidRPr="00AD4395" w:rsidTr="007A28C1">
        <w:trPr>
          <w:cnfStyle w:val="100000000000"/>
          <w:trHeight w:val="440"/>
        </w:trPr>
        <w:tc>
          <w:tcPr>
            <w:cnfStyle w:val="001000000000"/>
            <w:tcW w:w="9744" w:type="dxa"/>
            <w:gridSpan w:val="7"/>
          </w:tcPr>
          <w:p w:rsidR="003356BF" w:rsidRPr="00FE1864" w:rsidRDefault="00FE36BD" w:rsidP="00F10BD9">
            <w:pPr>
              <w:pStyle w:val="Standaard1"/>
              <w:contextualSpacing w:val="0"/>
              <w:rPr>
                <w:lang w:val="en-GB"/>
              </w:rPr>
            </w:pPr>
            <w:r>
              <w:rPr>
                <w:sz w:val="48"/>
                <w:szCs w:val="48"/>
                <w:lang w:val="en-GB"/>
              </w:rPr>
              <w:t xml:space="preserve">Dutch </w:t>
            </w:r>
            <w:r w:rsidR="00F10BD9">
              <w:rPr>
                <w:sz w:val="48"/>
                <w:szCs w:val="48"/>
                <w:lang w:val="en-GB"/>
              </w:rPr>
              <w:t>–</w:t>
            </w:r>
            <w:r w:rsidR="00CF4C15">
              <w:rPr>
                <w:sz w:val="48"/>
                <w:szCs w:val="48"/>
                <w:lang w:val="en-GB"/>
              </w:rPr>
              <w:t xml:space="preserve"> </w:t>
            </w:r>
            <w:r w:rsidR="006E5B42" w:rsidRPr="00FE1864">
              <w:rPr>
                <w:sz w:val="48"/>
                <w:szCs w:val="48"/>
                <w:lang w:val="en-GB"/>
              </w:rPr>
              <w:t>Integration</w:t>
            </w:r>
          </w:p>
        </w:tc>
      </w:tr>
      <w:tr w:rsidR="003356BF" w:rsidRPr="00FE1864" w:rsidTr="007A28C1">
        <w:trPr>
          <w:cnfStyle w:val="000000100000"/>
          <w:trHeight w:val="767"/>
        </w:trPr>
        <w:tc>
          <w:tcPr>
            <w:cnfStyle w:val="001000000000"/>
            <w:tcW w:w="1150" w:type="dxa"/>
            <w:tcBorders>
              <w:left w:val="single" w:sz="4" w:space="0" w:color="auto"/>
              <w:right w:val="single" w:sz="4" w:space="0" w:color="auto"/>
            </w:tcBorders>
          </w:tcPr>
          <w:p w:rsidR="003356BF" w:rsidRPr="00FE1864" w:rsidRDefault="006E5B42">
            <w:pPr>
              <w:pStyle w:val="Kop2"/>
              <w:contextualSpacing w:val="0"/>
              <w:jc w:val="center"/>
              <w:outlineLvl w:val="1"/>
              <w:rPr>
                <w:lang w:val="en-GB"/>
              </w:rPr>
            </w:pPr>
            <w:r w:rsidRPr="00FE1864">
              <w:rPr>
                <w:lang w:val="en-GB"/>
              </w:rPr>
              <w:t>Level*</w:t>
            </w:r>
          </w:p>
        </w:tc>
        <w:tc>
          <w:tcPr>
            <w:tcW w:w="1350" w:type="dxa"/>
            <w:tcBorders>
              <w:left w:val="single" w:sz="4" w:space="0" w:color="auto"/>
              <w:right w:val="single" w:sz="4" w:space="0" w:color="auto"/>
            </w:tcBorders>
          </w:tcPr>
          <w:p w:rsidR="003356BF" w:rsidRPr="00FE1864" w:rsidRDefault="006E5B42">
            <w:pPr>
              <w:pStyle w:val="Kop2"/>
              <w:contextualSpacing w:val="0"/>
              <w:jc w:val="center"/>
              <w:outlineLvl w:val="1"/>
              <w:cnfStyle w:val="000000100000"/>
              <w:rPr>
                <w:lang w:val="en-GB"/>
              </w:rPr>
            </w:pPr>
            <w:r w:rsidRPr="00FE1864">
              <w:rPr>
                <w:lang w:val="en-GB"/>
              </w:rPr>
              <w:t>Type of training</w:t>
            </w:r>
          </w:p>
        </w:tc>
        <w:tc>
          <w:tcPr>
            <w:tcW w:w="1334" w:type="dxa"/>
            <w:tcBorders>
              <w:left w:val="single" w:sz="4" w:space="0" w:color="auto"/>
              <w:right w:val="single" w:sz="4" w:space="0" w:color="auto"/>
            </w:tcBorders>
          </w:tcPr>
          <w:p w:rsidR="003356BF" w:rsidRPr="00FE1864" w:rsidRDefault="006E5B42">
            <w:pPr>
              <w:pStyle w:val="Kop2"/>
              <w:contextualSpacing w:val="0"/>
              <w:jc w:val="center"/>
              <w:outlineLvl w:val="1"/>
              <w:cnfStyle w:val="000000100000"/>
              <w:rPr>
                <w:lang w:val="en-GB"/>
              </w:rPr>
            </w:pPr>
            <w:r w:rsidRPr="00FE1864">
              <w:rPr>
                <w:lang w:val="en-GB"/>
              </w:rPr>
              <w:t>Schedule</w:t>
            </w:r>
          </w:p>
        </w:tc>
        <w:tc>
          <w:tcPr>
            <w:tcW w:w="1027" w:type="dxa"/>
            <w:tcBorders>
              <w:left w:val="single" w:sz="4" w:space="0" w:color="auto"/>
              <w:right w:val="single" w:sz="4" w:space="0" w:color="auto"/>
            </w:tcBorders>
          </w:tcPr>
          <w:p w:rsidR="003356BF" w:rsidRPr="00FE1864" w:rsidRDefault="006E5B42">
            <w:pPr>
              <w:pStyle w:val="Kop2"/>
              <w:contextualSpacing w:val="0"/>
              <w:jc w:val="center"/>
              <w:outlineLvl w:val="1"/>
              <w:cnfStyle w:val="000000100000"/>
              <w:rPr>
                <w:lang w:val="en-GB"/>
              </w:rPr>
            </w:pPr>
            <w:r w:rsidRPr="00FE1864">
              <w:rPr>
                <w:lang w:val="en-GB"/>
              </w:rPr>
              <w:t>Day</w:t>
            </w:r>
          </w:p>
        </w:tc>
        <w:tc>
          <w:tcPr>
            <w:tcW w:w="1663" w:type="dxa"/>
            <w:tcBorders>
              <w:left w:val="single" w:sz="4" w:space="0" w:color="auto"/>
              <w:right w:val="single" w:sz="4" w:space="0" w:color="auto"/>
            </w:tcBorders>
          </w:tcPr>
          <w:p w:rsidR="003356BF" w:rsidRPr="00FE1864" w:rsidRDefault="00FE1864">
            <w:pPr>
              <w:pStyle w:val="Kop2"/>
              <w:contextualSpacing w:val="0"/>
              <w:jc w:val="center"/>
              <w:outlineLvl w:val="1"/>
              <w:cnfStyle w:val="000000100000"/>
              <w:rPr>
                <w:lang w:val="en-GB"/>
              </w:rPr>
            </w:pPr>
            <w:r w:rsidRPr="00FE1864">
              <w:rPr>
                <w:lang w:val="en-GB"/>
              </w:rPr>
              <w:t>Start date</w:t>
            </w:r>
          </w:p>
        </w:tc>
        <w:tc>
          <w:tcPr>
            <w:tcW w:w="1365" w:type="dxa"/>
            <w:tcBorders>
              <w:left w:val="single" w:sz="4" w:space="0" w:color="auto"/>
              <w:right w:val="single" w:sz="4" w:space="0" w:color="auto"/>
            </w:tcBorders>
          </w:tcPr>
          <w:p w:rsidR="003356BF" w:rsidRPr="00FE1864" w:rsidRDefault="006E5B42">
            <w:pPr>
              <w:pStyle w:val="Kop2"/>
              <w:contextualSpacing w:val="0"/>
              <w:jc w:val="center"/>
              <w:outlineLvl w:val="1"/>
              <w:cnfStyle w:val="000000100000"/>
              <w:rPr>
                <w:lang w:val="en-GB"/>
              </w:rPr>
            </w:pPr>
            <w:r w:rsidRPr="00FE1864">
              <w:rPr>
                <w:lang w:val="en-GB"/>
              </w:rPr>
              <w:t>Number of hours</w:t>
            </w:r>
          </w:p>
        </w:tc>
        <w:tc>
          <w:tcPr>
            <w:tcW w:w="1855" w:type="dxa"/>
            <w:tcBorders>
              <w:left w:val="single" w:sz="4" w:space="0" w:color="auto"/>
              <w:right w:val="single" w:sz="4" w:space="0" w:color="auto"/>
            </w:tcBorders>
          </w:tcPr>
          <w:p w:rsidR="003356BF" w:rsidRPr="00FE1864" w:rsidRDefault="006E5B42">
            <w:pPr>
              <w:pStyle w:val="Kop2"/>
              <w:contextualSpacing w:val="0"/>
              <w:jc w:val="center"/>
              <w:outlineLvl w:val="1"/>
              <w:cnfStyle w:val="000000100000"/>
              <w:rPr>
                <w:lang w:val="en-GB"/>
              </w:rPr>
            </w:pPr>
            <w:r w:rsidRPr="00FE1864">
              <w:rPr>
                <w:lang w:val="en-GB"/>
              </w:rPr>
              <w:t>Total price</w:t>
            </w:r>
          </w:p>
        </w:tc>
      </w:tr>
      <w:tr w:rsidR="00660A3C" w:rsidRPr="00025C8D" w:rsidTr="007A28C1">
        <w:tblPrEx>
          <w:tblBorders>
            <w:top w:val="none" w:sz="0" w:space="0" w:color="auto"/>
            <w:left w:val="none" w:sz="0" w:space="0" w:color="auto"/>
            <w:bottom w:val="none" w:sz="0" w:space="0" w:color="auto"/>
            <w:right w:val="none" w:sz="0" w:space="0" w:color="auto"/>
          </w:tblBorders>
        </w:tblPrEx>
        <w:trPr>
          <w:trHeight w:val="1571"/>
        </w:trPr>
        <w:tc>
          <w:tcPr>
            <w:cnfStyle w:val="001000000000"/>
            <w:tcW w:w="1150" w:type="dxa"/>
            <w:tcBorders>
              <w:top w:val="single" w:sz="4" w:space="0" w:color="auto"/>
              <w:left w:val="single" w:sz="4" w:space="0" w:color="auto"/>
              <w:bottom w:val="single" w:sz="4" w:space="0" w:color="auto"/>
              <w:right w:val="single" w:sz="4" w:space="0" w:color="auto"/>
            </w:tcBorders>
          </w:tcPr>
          <w:p w:rsidR="008D1D85" w:rsidRDefault="008D1D85" w:rsidP="00660A3C">
            <w:pPr>
              <w:pStyle w:val="Standaard1"/>
              <w:ind w:left="-108"/>
              <w:jc w:val="center"/>
              <w:rPr>
                <w:color w:val="1F497D" w:themeColor="text2"/>
                <w:lang w:val="en-GB"/>
              </w:rPr>
            </w:pPr>
          </w:p>
          <w:p w:rsidR="00FE36BD" w:rsidRDefault="00FE36BD" w:rsidP="00660A3C">
            <w:pPr>
              <w:pStyle w:val="Standaard1"/>
              <w:ind w:left="-108"/>
              <w:jc w:val="center"/>
              <w:rPr>
                <w:color w:val="1F497D" w:themeColor="text2"/>
                <w:lang w:val="en-GB"/>
              </w:rPr>
            </w:pPr>
            <w:r>
              <w:rPr>
                <w:color w:val="1F497D" w:themeColor="text2"/>
                <w:lang w:val="en-GB"/>
              </w:rPr>
              <w:t>Dutch</w:t>
            </w:r>
          </w:p>
          <w:p w:rsidR="00660A3C" w:rsidRPr="008D1D85" w:rsidRDefault="00FE36BD" w:rsidP="00660A3C">
            <w:pPr>
              <w:pStyle w:val="Standaard1"/>
              <w:ind w:left="-108"/>
              <w:jc w:val="center"/>
              <w:rPr>
                <w:color w:val="1F497D" w:themeColor="text2"/>
                <w:lang w:val="en-GB"/>
              </w:rPr>
            </w:pPr>
            <w:r>
              <w:rPr>
                <w:color w:val="1F497D" w:themeColor="text2"/>
                <w:lang w:val="en-GB"/>
              </w:rPr>
              <w:t>A1/A2</w:t>
            </w:r>
          </w:p>
        </w:tc>
        <w:tc>
          <w:tcPr>
            <w:tcW w:w="1350" w:type="dxa"/>
            <w:tcBorders>
              <w:top w:val="single" w:sz="4" w:space="0" w:color="auto"/>
              <w:left w:val="single" w:sz="4" w:space="0" w:color="auto"/>
              <w:bottom w:val="single" w:sz="4" w:space="0" w:color="auto"/>
              <w:right w:val="single" w:sz="4" w:space="0" w:color="auto"/>
            </w:tcBorders>
          </w:tcPr>
          <w:p w:rsidR="00660A3C" w:rsidRDefault="00660A3C" w:rsidP="00660A3C">
            <w:pPr>
              <w:pStyle w:val="Standaard1"/>
              <w:jc w:val="center"/>
              <w:cnfStyle w:val="000000000000"/>
              <w:rPr>
                <w:sz w:val="16"/>
                <w:szCs w:val="16"/>
                <w:lang w:val="en-GB"/>
              </w:rPr>
            </w:pPr>
          </w:p>
          <w:p w:rsidR="00660A3C" w:rsidRDefault="00CF4C15" w:rsidP="00660A3C">
            <w:pPr>
              <w:pStyle w:val="Standaard1"/>
              <w:jc w:val="center"/>
              <w:cnfStyle w:val="000000000000"/>
              <w:rPr>
                <w:sz w:val="16"/>
                <w:szCs w:val="16"/>
                <w:lang w:val="en-GB"/>
              </w:rPr>
            </w:pPr>
            <w:r>
              <w:rPr>
                <w:sz w:val="16"/>
                <w:szCs w:val="16"/>
                <w:lang w:val="en-GB"/>
              </w:rPr>
              <w:t>Integration</w:t>
            </w:r>
          </w:p>
          <w:p w:rsidR="00660A3C" w:rsidRPr="00FE1864" w:rsidRDefault="00757F4B" w:rsidP="00660A3C">
            <w:pPr>
              <w:pStyle w:val="Standaard1"/>
              <w:jc w:val="center"/>
              <w:cnfStyle w:val="000000000000"/>
              <w:rPr>
                <w:sz w:val="16"/>
                <w:szCs w:val="16"/>
                <w:lang w:val="en-GB"/>
              </w:rPr>
            </w:pPr>
            <w:r>
              <w:rPr>
                <w:sz w:val="16"/>
                <w:szCs w:val="16"/>
                <w:lang w:val="en-GB"/>
              </w:rPr>
              <w:t>2</w:t>
            </w:r>
            <w:r w:rsidR="00660A3C">
              <w:rPr>
                <w:sz w:val="16"/>
                <w:szCs w:val="16"/>
                <w:lang w:val="en-GB"/>
              </w:rPr>
              <w:t xml:space="preserve"> weeks</w:t>
            </w:r>
          </w:p>
        </w:tc>
        <w:tc>
          <w:tcPr>
            <w:tcW w:w="1334" w:type="dxa"/>
            <w:tcBorders>
              <w:top w:val="single" w:sz="4" w:space="0" w:color="auto"/>
              <w:left w:val="single" w:sz="4" w:space="0" w:color="auto"/>
              <w:bottom w:val="single" w:sz="4" w:space="0" w:color="auto"/>
              <w:right w:val="single" w:sz="4" w:space="0" w:color="auto"/>
            </w:tcBorders>
          </w:tcPr>
          <w:p w:rsidR="00660A3C" w:rsidRDefault="00660A3C" w:rsidP="00660A3C">
            <w:pPr>
              <w:pStyle w:val="Standaard1"/>
              <w:jc w:val="center"/>
              <w:cnfStyle w:val="000000000000"/>
              <w:rPr>
                <w:sz w:val="16"/>
                <w:szCs w:val="16"/>
                <w:lang w:val="en-GB"/>
              </w:rPr>
            </w:pPr>
          </w:p>
          <w:p w:rsidR="00660A3C" w:rsidRDefault="00660A3C" w:rsidP="00660A3C">
            <w:pPr>
              <w:pStyle w:val="Standaard1"/>
              <w:jc w:val="center"/>
              <w:cnfStyle w:val="000000000000"/>
              <w:rPr>
                <w:sz w:val="16"/>
                <w:szCs w:val="16"/>
                <w:lang w:val="en-GB"/>
              </w:rPr>
            </w:pPr>
            <w:r>
              <w:rPr>
                <w:sz w:val="16"/>
                <w:szCs w:val="16"/>
                <w:lang w:val="en-GB"/>
              </w:rPr>
              <w:t>3 days a week\</w:t>
            </w:r>
          </w:p>
          <w:p w:rsidR="00660A3C" w:rsidRPr="00FE1864" w:rsidRDefault="004F5918" w:rsidP="00660A3C">
            <w:pPr>
              <w:pStyle w:val="Standaard1"/>
              <w:jc w:val="center"/>
              <w:cnfStyle w:val="000000000000"/>
              <w:rPr>
                <w:sz w:val="16"/>
                <w:szCs w:val="16"/>
                <w:lang w:val="en-GB"/>
              </w:rPr>
            </w:pPr>
            <w:r>
              <w:rPr>
                <w:sz w:val="16"/>
                <w:szCs w:val="16"/>
                <w:lang w:val="en-GB"/>
              </w:rPr>
              <w:t>1</w:t>
            </w:r>
            <w:r w:rsidR="00660A3C">
              <w:rPr>
                <w:sz w:val="16"/>
                <w:szCs w:val="16"/>
                <w:lang w:val="en-GB"/>
              </w:rPr>
              <w:t xml:space="preserve">9.00- </w:t>
            </w:r>
            <w:r>
              <w:rPr>
                <w:sz w:val="16"/>
                <w:szCs w:val="16"/>
                <w:lang w:val="en-GB"/>
              </w:rPr>
              <w:t>2</w:t>
            </w:r>
            <w:r w:rsidR="00660A3C">
              <w:rPr>
                <w:sz w:val="16"/>
                <w:szCs w:val="16"/>
                <w:lang w:val="en-GB"/>
              </w:rPr>
              <w:t>1.00 hours</w:t>
            </w:r>
          </w:p>
        </w:tc>
        <w:tc>
          <w:tcPr>
            <w:tcW w:w="1027" w:type="dxa"/>
            <w:tcBorders>
              <w:top w:val="single" w:sz="4" w:space="0" w:color="auto"/>
              <w:left w:val="single" w:sz="4" w:space="0" w:color="auto"/>
              <w:bottom w:val="single" w:sz="4" w:space="0" w:color="auto"/>
              <w:right w:val="single" w:sz="4" w:space="0" w:color="auto"/>
            </w:tcBorders>
          </w:tcPr>
          <w:p w:rsidR="00660A3C" w:rsidRDefault="00660A3C" w:rsidP="00660A3C">
            <w:pPr>
              <w:pStyle w:val="Standaard1"/>
              <w:jc w:val="center"/>
              <w:cnfStyle w:val="000000000000"/>
              <w:rPr>
                <w:sz w:val="16"/>
                <w:szCs w:val="16"/>
                <w:lang w:val="en-GB"/>
              </w:rPr>
            </w:pPr>
          </w:p>
          <w:p w:rsidR="00660A3C" w:rsidRDefault="00660A3C" w:rsidP="00660A3C">
            <w:pPr>
              <w:pStyle w:val="Standaard1"/>
              <w:jc w:val="center"/>
              <w:cnfStyle w:val="000000000000"/>
              <w:rPr>
                <w:sz w:val="16"/>
                <w:szCs w:val="16"/>
                <w:lang w:val="en-GB"/>
              </w:rPr>
            </w:pPr>
            <w:r>
              <w:rPr>
                <w:sz w:val="16"/>
                <w:szCs w:val="16"/>
                <w:lang w:val="en-GB"/>
              </w:rPr>
              <w:t>Monday</w:t>
            </w:r>
          </w:p>
          <w:p w:rsidR="00660A3C" w:rsidRDefault="00660A3C" w:rsidP="00660A3C">
            <w:pPr>
              <w:pStyle w:val="Standaard1"/>
              <w:jc w:val="center"/>
              <w:cnfStyle w:val="000000000000"/>
              <w:rPr>
                <w:sz w:val="16"/>
                <w:szCs w:val="16"/>
                <w:lang w:val="en-GB"/>
              </w:rPr>
            </w:pPr>
            <w:r>
              <w:rPr>
                <w:sz w:val="16"/>
                <w:szCs w:val="16"/>
                <w:lang w:val="en-GB"/>
              </w:rPr>
              <w:t>Wednesday</w:t>
            </w:r>
          </w:p>
          <w:p w:rsidR="00660A3C" w:rsidRPr="00FE1864" w:rsidRDefault="00660A3C" w:rsidP="00660A3C">
            <w:pPr>
              <w:pStyle w:val="Standaard1"/>
              <w:jc w:val="center"/>
              <w:cnfStyle w:val="000000000000"/>
              <w:rPr>
                <w:sz w:val="16"/>
                <w:szCs w:val="16"/>
                <w:lang w:val="en-GB"/>
              </w:rPr>
            </w:pPr>
            <w:r>
              <w:rPr>
                <w:sz w:val="16"/>
                <w:szCs w:val="16"/>
                <w:lang w:val="en-GB"/>
              </w:rPr>
              <w:t>Friday</w:t>
            </w:r>
          </w:p>
        </w:tc>
        <w:tc>
          <w:tcPr>
            <w:tcW w:w="1663" w:type="dxa"/>
            <w:tcBorders>
              <w:top w:val="single" w:sz="4" w:space="0" w:color="auto"/>
              <w:left w:val="single" w:sz="4" w:space="0" w:color="auto"/>
              <w:bottom w:val="single" w:sz="4" w:space="0" w:color="auto"/>
              <w:right w:val="single" w:sz="4" w:space="0" w:color="auto"/>
            </w:tcBorders>
          </w:tcPr>
          <w:p w:rsidR="00660A3C" w:rsidRDefault="00660A3C" w:rsidP="00660A3C">
            <w:pPr>
              <w:pStyle w:val="Standaard1"/>
              <w:jc w:val="center"/>
              <w:cnfStyle w:val="000000000000"/>
              <w:rPr>
                <w:sz w:val="16"/>
                <w:szCs w:val="16"/>
                <w:lang w:val="en-GB"/>
              </w:rPr>
            </w:pPr>
          </w:p>
          <w:p w:rsidR="00660A3C" w:rsidRDefault="00B440AD" w:rsidP="00D4002A">
            <w:pPr>
              <w:pStyle w:val="Standaard1"/>
              <w:jc w:val="center"/>
              <w:cnfStyle w:val="000000000000"/>
              <w:rPr>
                <w:sz w:val="16"/>
                <w:szCs w:val="16"/>
                <w:lang w:val="en-GB"/>
              </w:rPr>
            </w:pPr>
            <w:r>
              <w:rPr>
                <w:sz w:val="16"/>
                <w:szCs w:val="16"/>
                <w:lang w:val="en-GB"/>
              </w:rPr>
              <w:t>7,9 and 11 May</w:t>
            </w:r>
            <w:r w:rsidR="00D4002A">
              <w:rPr>
                <w:sz w:val="16"/>
                <w:szCs w:val="16"/>
                <w:lang w:val="en-GB"/>
              </w:rPr>
              <w:t xml:space="preserve"> 2018 and the week after</w:t>
            </w:r>
          </w:p>
        </w:tc>
        <w:tc>
          <w:tcPr>
            <w:tcW w:w="1365" w:type="dxa"/>
            <w:tcBorders>
              <w:left w:val="single" w:sz="4" w:space="0" w:color="auto"/>
              <w:bottom w:val="single" w:sz="4" w:space="0" w:color="auto"/>
              <w:right w:val="single" w:sz="4" w:space="0" w:color="auto"/>
            </w:tcBorders>
          </w:tcPr>
          <w:p w:rsidR="00660A3C" w:rsidRDefault="00660A3C" w:rsidP="00660A3C">
            <w:pPr>
              <w:pStyle w:val="Standaard1"/>
              <w:jc w:val="center"/>
              <w:cnfStyle w:val="000000000000"/>
              <w:rPr>
                <w:sz w:val="16"/>
                <w:szCs w:val="16"/>
                <w:lang w:val="en-GB"/>
              </w:rPr>
            </w:pPr>
          </w:p>
          <w:p w:rsidR="00660A3C" w:rsidRPr="00FE1864" w:rsidRDefault="00757F4B" w:rsidP="00660A3C">
            <w:pPr>
              <w:pStyle w:val="Standaard1"/>
              <w:jc w:val="center"/>
              <w:cnfStyle w:val="000000000000"/>
              <w:rPr>
                <w:sz w:val="16"/>
                <w:szCs w:val="16"/>
                <w:lang w:val="en-GB"/>
              </w:rPr>
            </w:pPr>
            <w:r>
              <w:rPr>
                <w:sz w:val="16"/>
                <w:szCs w:val="16"/>
                <w:lang w:val="en-GB"/>
              </w:rPr>
              <w:t xml:space="preserve">3 x 2 hours a week = 12 </w:t>
            </w:r>
            <w:r w:rsidR="00660A3C">
              <w:rPr>
                <w:sz w:val="16"/>
                <w:szCs w:val="16"/>
                <w:lang w:val="en-GB"/>
              </w:rPr>
              <w:t xml:space="preserve"> hours </w:t>
            </w:r>
          </w:p>
        </w:tc>
        <w:tc>
          <w:tcPr>
            <w:tcW w:w="1855" w:type="dxa"/>
            <w:tcBorders>
              <w:left w:val="single" w:sz="4" w:space="0" w:color="auto"/>
              <w:bottom w:val="single" w:sz="4" w:space="0" w:color="auto"/>
              <w:right w:val="single" w:sz="4" w:space="0" w:color="auto"/>
            </w:tcBorders>
          </w:tcPr>
          <w:p w:rsidR="00660A3C" w:rsidRDefault="00660A3C" w:rsidP="00660A3C">
            <w:pPr>
              <w:pStyle w:val="Standaard1"/>
              <w:jc w:val="center"/>
              <w:cnfStyle w:val="000000000000"/>
              <w:rPr>
                <w:lang w:val="en-GB"/>
              </w:rPr>
            </w:pPr>
          </w:p>
          <w:p w:rsidR="00660A3C" w:rsidRPr="00025C8D" w:rsidRDefault="00757F4B" w:rsidP="00660A3C">
            <w:pPr>
              <w:pStyle w:val="Standaard1"/>
              <w:jc w:val="center"/>
              <w:cnfStyle w:val="000000000000"/>
              <w:rPr>
                <w:sz w:val="16"/>
                <w:szCs w:val="16"/>
                <w:lang w:val="en-GB"/>
              </w:rPr>
            </w:pPr>
            <w:r>
              <w:rPr>
                <w:sz w:val="16"/>
                <w:szCs w:val="16"/>
                <w:lang w:val="en-GB"/>
              </w:rPr>
              <w:t>€ 420,-</w:t>
            </w:r>
          </w:p>
        </w:tc>
      </w:tr>
      <w:tr w:rsidR="00660A3C" w:rsidRPr="007A28C1" w:rsidTr="007A28C1">
        <w:tblPrEx>
          <w:tblBorders>
            <w:top w:val="none" w:sz="0" w:space="0" w:color="auto"/>
            <w:left w:val="none" w:sz="0" w:space="0" w:color="auto"/>
            <w:bottom w:val="none" w:sz="0" w:space="0" w:color="auto"/>
            <w:right w:val="none" w:sz="0" w:space="0" w:color="auto"/>
          </w:tblBorders>
        </w:tblPrEx>
        <w:trPr>
          <w:cnfStyle w:val="000000100000"/>
          <w:trHeight w:val="1562"/>
        </w:trPr>
        <w:tc>
          <w:tcPr>
            <w:cnfStyle w:val="001000000000"/>
            <w:tcW w:w="1150" w:type="dxa"/>
            <w:tcBorders>
              <w:top w:val="single" w:sz="4" w:space="0" w:color="auto"/>
              <w:left w:val="single" w:sz="4" w:space="0" w:color="auto"/>
              <w:bottom w:val="single" w:sz="4" w:space="0" w:color="auto"/>
              <w:right w:val="single" w:sz="4" w:space="0" w:color="auto"/>
            </w:tcBorders>
          </w:tcPr>
          <w:p w:rsidR="008D1D85" w:rsidRDefault="008D1D85" w:rsidP="00660A3C">
            <w:pPr>
              <w:pStyle w:val="Standaard1"/>
              <w:ind w:left="-108"/>
              <w:jc w:val="center"/>
              <w:rPr>
                <w:color w:val="1F497D" w:themeColor="text2"/>
                <w:lang w:val="en-GB"/>
              </w:rPr>
            </w:pPr>
          </w:p>
          <w:p w:rsidR="00FE36BD" w:rsidRDefault="00FE36BD" w:rsidP="00660A3C">
            <w:pPr>
              <w:pStyle w:val="Standaard1"/>
              <w:ind w:left="-108"/>
              <w:jc w:val="center"/>
              <w:rPr>
                <w:color w:val="1F497D" w:themeColor="text2"/>
                <w:lang w:val="en-GB"/>
              </w:rPr>
            </w:pPr>
            <w:r>
              <w:rPr>
                <w:color w:val="1F497D" w:themeColor="text2"/>
                <w:lang w:val="en-GB"/>
              </w:rPr>
              <w:t>Dutch</w:t>
            </w:r>
          </w:p>
          <w:p w:rsidR="00660A3C" w:rsidRPr="008D1D85" w:rsidRDefault="00D4002A" w:rsidP="00660A3C">
            <w:pPr>
              <w:pStyle w:val="Standaard1"/>
              <w:ind w:left="-108"/>
              <w:jc w:val="center"/>
              <w:rPr>
                <w:color w:val="1F497D" w:themeColor="text2"/>
                <w:lang w:val="en-GB"/>
              </w:rPr>
            </w:pPr>
            <w:r>
              <w:rPr>
                <w:color w:val="1F497D" w:themeColor="text2"/>
                <w:lang w:val="en-GB"/>
              </w:rPr>
              <w:t>A1/A2</w:t>
            </w:r>
          </w:p>
        </w:tc>
        <w:tc>
          <w:tcPr>
            <w:tcW w:w="1350" w:type="dxa"/>
            <w:tcBorders>
              <w:top w:val="single" w:sz="4" w:space="0" w:color="auto"/>
              <w:left w:val="single" w:sz="4" w:space="0" w:color="auto"/>
              <w:bottom w:val="single" w:sz="4" w:space="0" w:color="auto"/>
              <w:right w:val="single" w:sz="4" w:space="0" w:color="auto"/>
            </w:tcBorders>
          </w:tcPr>
          <w:p w:rsidR="00660A3C" w:rsidRDefault="00660A3C" w:rsidP="00660A3C">
            <w:pPr>
              <w:pStyle w:val="Standaard1"/>
              <w:jc w:val="center"/>
              <w:cnfStyle w:val="000000100000"/>
              <w:rPr>
                <w:sz w:val="16"/>
                <w:szCs w:val="16"/>
                <w:lang w:val="en-GB"/>
              </w:rPr>
            </w:pPr>
          </w:p>
          <w:p w:rsidR="00660A3C" w:rsidRDefault="00CF4C15" w:rsidP="00660A3C">
            <w:pPr>
              <w:pStyle w:val="Standaard1"/>
              <w:jc w:val="center"/>
              <w:cnfStyle w:val="000000100000"/>
              <w:rPr>
                <w:sz w:val="16"/>
                <w:szCs w:val="16"/>
                <w:lang w:val="en-GB"/>
              </w:rPr>
            </w:pPr>
            <w:r>
              <w:rPr>
                <w:sz w:val="16"/>
                <w:szCs w:val="16"/>
                <w:lang w:val="en-GB"/>
              </w:rPr>
              <w:t>Integration</w:t>
            </w:r>
          </w:p>
          <w:p w:rsidR="00660A3C" w:rsidRPr="00FE1864" w:rsidRDefault="00660A3C" w:rsidP="00660A3C">
            <w:pPr>
              <w:pStyle w:val="Standaard1"/>
              <w:jc w:val="center"/>
              <w:cnfStyle w:val="000000100000"/>
              <w:rPr>
                <w:sz w:val="16"/>
                <w:szCs w:val="16"/>
                <w:lang w:val="en-GB"/>
              </w:rPr>
            </w:pPr>
            <w:r>
              <w:rPr>
                <w:sz w:val="16"/>
                <w:szCs w:val="16"/>
                <w:lang w:val="en-GB"/>
              </w:rPr>
              <w:t>3 weeks</w:t>
            </w:r>
          </w:p>
        </w:tc>
        <w:tc>
          <w:tcPr>
            <w:tcW w:w="1334" w:type="dxa"/>
            <w:tcBorders>
              <w:top w:val="single" w:sz="4" w:space="0" w:color="auto"/>
              <w:left w:val="single" w:sz="4" w:space="0" w:color="auto"/>
              <w:bottom w:val="single" w:sz="4" w:space="0" w:color="auto"/>
              <w:right w:val="single" w:sz="4" w:space="0" w:color="auto"/>
            </w:tcBorders>
          </w:tcPr>
          <w:p w:rsidR="00660A3C" w:rsidRDefault="00660A3C" w:rsidP="00660A3C">
            <w:pPr>
              <w:pStyle w:val="Standaard1"/>
              <w:jc w:val="center"/>
              <w:cnfStyle w:val="000000100000"/>
              <w:rPr>
                <w:sz w:val="16"/>
                <w:szCs w:val="16"/>
                <w:lang w:val="en-GB"/>
              </w:rPr>
            </w:pPr>
          </w:p>
          <w:p w:rsidR="00660A3C" w:rsidRDefault="00660A3C" w:rsidP="00660A3C">
            <w:pPr>
              <w:pStyle w:val="Standaard1"/>
              <w:jc w:val="center"/>
              <w:cnfStyle w:val="000000100000"/>
              <w:rPr>
                <w:sz w:val="16"/>
                <w:szCs w:val="16"/>
                <w:lang w:val="en-GB"/>
              </w:rPr>
            </w:pPr>
            <w:r>
              <w:rPr>
                <w:sz w:val="16"/>
                <w:szCs w:val="16"/>
                <w:lang w:val="en-GB"/>
              </w:rPr>
              <w:t>3 days a week\</w:t>
            </w:r>
          </w:p>
          <w:p w:rsidR="00660A3C" w:rsidRPr="00FE1864" w:rsidRDefault="004F5918" w:rsidP="00660A3C">
            <w:pPr>
              <w:pStyle w:val="Standaard1"/>
              <w:jc w:val="center"/>
              <w:cnfStyle w:val="000000100000"/>
              <w:rPr>
                <w:sz w:val="16"/>
                <w:szCs w:val="16"/>
                <w:lang w:val="en-GB"/>
              </w:rPr>
            </w:pPr>
            <w:r>
              <w:rPr>
                <w:sz w:val="16"/>
                <w:szCs w:val="16"/>
                <w:lang w:val="en-GB"/>
              </w:rPr>
              <w:t>19.00- 2</w:t>
            </w:r>
            <w:r w:rsidR="00660A3C">
              <w:rPr>
                <w:sz w:val="16"/>
                <w:szCs w:val="16"/>
                <w:lang w:val="en-GB"/>
              </w:rPr>
              <w:t>1.00 hours</w:t>
            </w:r>
          </w:p>
        </w:tc>
        <w:tc>
          <w:tcPr>
            <w:tcW w:w="1027" w:type="dxa"/>
            <w:tcBorders>
              <w:top w:val="single" w:sz="4" w:space="0" w:color="auto"/>
              <w:left w:val="single" w:sz="4" w:space="0" w:color="auto"/>
              <w:bottom w:val="single" w:sz="4" w:space="0" w:color="auto"/>
              <w:right w:val="single" w:sz="4" w:space="0" w:color="auto"/>
            </w:tcBorders>
          </w:tcPr>
          <w:p w:rsidR="00660A3C" w:rsidRDefault="00660A3C" w:rsidP="00660A3C">
            <w:pPr>
              <w:pStyle w:val="Standaard1"/>
              <w:jc w:val="center"/>
              <w:cnfStyle w:val="000000100000"/>
              <w:rPr>
                <w:sz w:val="16"/>
                <w:szCs w:val="16"/>
                <w:lang w:val="en-GB"/>
              </w:rPr>
            </w:pPr>
          </w:p>
          <w:p w:rsidR="00660A3C" w:rsidRDefault="00660A3C" w:rsidP="00660A3C">
            <w:pPr>
              <w:pStyle w:val="Standaard1"/>
              <w:jc w:val="center"/>
              <w:cnfStyle w:val="000000100000"/>
              <w:rPr>
                <w:sz w:val="16"/>
                <w:szCs w:val="16"/>
                <w:lang w:val="en-GB"/>
              </w:rPr>
            </w:pPr>
            <w:r>
              <w:rPr>
                <w:sz w:val="16"/>
                <w:szCs w:val="16"/>
                <w:lang w:val="en-GB"/>
              </w:rPr>
              <w:t>Monday</w:t>
            </w:r>
          </w:p>
          <w:p w:rsidR="00660A3C" w:rsidRDefault="00660A3C" w:rsidP="00660A3C">
            <w:pPr>
              <w:pStyle w:val="Standaard1"/>
              <w:jc w:val="center"/>
              <w:cnfStyle w:val="000000100000"/>
              <w:rPr>
                <w:sz w:val="16"/>
                <w:szCs w:val="16"/>
                <w:lang w:val="en-GB"/>
              </w:rPr>
            </w:pPr>
            <w:r>
              <w:rPr>
                <w:sz w:val="16"/>
                <w:szCs w:val="16"/>
                <w:lang w:val="en-GB"/>
              </w:rPr>
              <w:t>Wednesday</w:t>
            </w:r>
          </w:p>
          <w:p w:rsidR="00660A3C" w:rsidRPr="00FE1864" w:rsidRDefault="00660A3C" w:rsidP="00660A3C">
            <w:pPr>
              <w:pStyle w:val="Standaard1"/>
              <w:jc w:val="center"/>
              <w:cnfStyle w:val="000000100000"/>
              <w:rPr>
                <w:sz w:val="16"/>
                <w:szCs w:val="16"/>
                <w:lang w:val="en-GB"/>
              </w:rPr>
            </w:pPr>
            <w:r>
              <w:rPr>
                <w:sz w:val="16"/>
                <w:szCs w:val="16"/>
                <w:lang w:val="en-GB"/>
              </w:rPr>
              <w:t>Friday</w:t>
            </w:r>
          </w:p>
        </w:tc>
        <w:tc>
          <w:tcPr>
            <w:tcW w:w="1663" w:type="dxa"/>
            <w:tcBorders>
              <w:top w:val="single" w:sz="4" w:space="0" w:color="auto"/>
              <w:left w:val="single" w:sz="4" w:space="0" w:color="auto"/>
              <w:bottom w:val="single" w:sz="4" w:space="0" w:color="auto"/>
              <w:right w:val="single" w:sz="4" w:space="0" w:color="auto"/>
            </w:tcBorders>
          </w:tcPr>
          <w:p w:rsidR="00660A3C" w:rsidRDefault="00660A3C" w:rsidP="00660A3C">
            <w:pPr>
              <w:pStyle w:val="Standaard1"/>
              <w:jc w:val="center"/>
              <w:cnfStyle w:val="000000100000"/>
              <w:rPr>
                <w:sz w:val="16"/>
                <w:szCs w:val="16"/>
                <w:lang w:val="en-GB"/>
              </w:rPr>
            </w:pPr>
          </w:p>
          <w:p w:rsidR="00660A3C" w:rsidRDefault="00B440AD" w:rsidP="004C694E">
            <w:pPr>
              <w:pStyle w:val="Standaard1"/>
              <w:jc w:val="center"/>
              <w:cnfStyle w:val="000000100000"/>
              <w:rPr>
                <w:sz w:val="16"/>
                <w:szCs w:val="16"/>
                <w:lang w:val="en-GB"/>
              </w:rPr>
            </w:pPr>
            <w:r>
              <w:rPr>
                <w:sz w:val="16"/>
                <w:szCs w:val="16"/>
                <w:lang w:val="en-GB"/>
              </w:rPr>
              <w:t>14, 16 and 18 May</w:t>
            </w:r>
            <w:r w:rsidR="00D4002A">
              <w:rPr>
                <w:sz w:val="16"/>
                <w:szCs w:val="16"/>
                <w:lang w:val="en-GB"/>
              </w:rPr>
              <w:t xml:space="preserve"> </w:t>
            </w:r>
            <w:r w:rsidR="00660A3C">
              <w:rPr>
                <w:sz w:val="16"/>
                <w:szCs w:val="16"/>
                <w:lang w:val="en-GB"/>
              </w:rPr>
              <w:t>2</w:t>
            </w:r>
            <w:r w:rsidR="00D4002A">
              <w:rPr>
                <w:sz w:val="16"/>
                <w:szCs w:val="16"/>
                <w:lang w:val="en-GB"/>
              </w:rPr>
              <w:t>018</w:t>
            </w:r>
            <w:r w:rsidR="00757F4B">
              <w:rPr>
                <w:sz w:val="16"/>
                <w:szCs w:val="16"/>
                <w:lang w:val="en-GB"/>
              </w:rPr>
              <w:t xml:space="preserve"> and  the two next weeks</w:t>
            </w:r>
          </w:p>
        </w:tc>
        <w:tc>
          <w:tcPr>
            <w:tcW w:w="1365" w:type="dxa"/>
            <w:tcBorders>
              <w:top w:val="single" w:sz="4" w:space="0" w:color="auto"/>
              <w:left w:val="single" w:sz="4" w:space="0" w:color="auto"/>
              <w:bottom w:val="single" w:sz="4" w:space="0" w:color="auto"/>
              <w:right w:val="single" w:sz="4" w:space="0" w:color="auto"/>
            </w:tcBorders>
          </w:tcPr>
          <w:p w:rsidR="00660A3C" w:rsidRDefault="00660A3C" w:rsidP="00660A3C">
            <w:pPr>
              <w:pStyle w:val="Standaard1"/>
              <w:jc w:val="center"/>
              <w:cnfStyle w:val="000000100000"/>
              <w:rPr>
                <w:sz w:val="16"/>
                <w:szCs w:val="16"/>
                <w:lang w:val="en-GB"/>
              </w:rPr>
            </w:pPr>
          </w:p>
          <w:p w:rsidR="00660A3C" w:rsidRPr="00FE1864" w:rsidRDefault="00660A3C" w:rsidP="009A6C61">
            <w:pPr>
              <w:pStyle w:val="Standaard1"/>
              <w:jc w:val="center"/>
              <w:cnfStyle w:val="000000100000"/>
              <w:rPr>
                <w:sz w:val="16"/>
                <w:szCs w:val="16"/>
                <w:lang w:val="en-GB"/>
              </w:rPr>
            </w:pPr>
            <w:r>
              <w:rPr>
                <w:sz w:val="16"/>
                <w:szCs w:val="16"/>
                <w:lang w:val="en-GB"/>
              </w:rPr>
              <w:t xml:space="preserve">3 x 2 hours a week = </w:t>
            </w:r>
            <w:r w:rsidR="009A6C61">
              <w:rPr>
                <w:sz w:val="16"/>
                <w:szCs w:val="16"/>
                <w:lang w:val="en-GB"/>
              </w:rPr>
              <w:t xml:space="preserve">18 </w:t>
            </w:r>
            <w:r>
              <w:rPr>
                <w:sz w:val="16"/>
                <w:szCs w:val="16"/>
                <w:lang w:val="en-GB"/>
              </w:rPr>
              <w:t xml:space="preserve">hours </w:t>
            </w:r>
          </w:p>
        </w:tc>
        <w:tc>
          <w:tcPr>
            <w:tcW w:w="1855" w:type="dxa"/>
            <w:tcBorders>
              <w:top w:val="single" w:sz="4" w:space="0" w:color="auto"/>
              <w:left w:val="single" w:sz="4" w:space="0" w:color="auto"/>
              <w:bottom w:val="single" w:sz="4" w:space="0" w:color="auto"/>
              <w:right w:val="single" w:sz="4" w:space="0" w:color="auto"/>
            </w:tcBorders>
          </w:tcPr>
          <w:p w:rsidR="00660A3C" w:rsidRDefault="00660A3C" w:rsidP="00660A3C">
            <w:pPr>
              <w:pStyle w:val="Standaard1"/>
              <w:jc w:val="center"/>
              <w:cnfStyle w:val="000000100000"/>
              <w:rPr>
                <w:lang w:val="en-GB"/>
              </w:rPr>
            </w:pPr>
          </w:p>
          <w:p w:rsidR="00660A3C" w:rsidRPr="00025C8D" w:rsidRDefault="00660A3C" w:rsidP="009A6C61">
            <w:pPr>
              <w:pStyle w:val="Standaard1"/>
              <w:jc w:val="center"/>
              <w:cnfStyle w:val="000000100000"/>
              <w:rPr>
                <w:sz w:val="16"/>
                <w:szCs w:val="16"/>
                <w:lang w:val="en-GB"/>
              </w:rPr>
            </w:pPr>
            <w:r w:rsidRPr="00025C8D">
              <w:rPr>
                <w:sz w:val="16"/>
                <w:szCs w:val="16"/>
                <w:lang w:val="en-GB"/>
              </w:rPr>
              <w:t xml:space="preserve">€ </w:t>
            </w:r>
            <w:r w:rsidR="009A6C61">
              <w:rPr>
                <w:sz w:val="16"/>
                <w:szCs w:val="16"/>
                <w:lang w:val="en-GB"/>
              </w:rPr>
              <w:t>63</w:t>
            </w:r>
            <w:r>
              <w:rPr>
                <w:sz w:val="16"/>
                <w:szCs w:val="16"/>
                <w:lang w:val="en-GB"/>
              </w:rPr>
              <w:t>0</w:t>
            </w:r>
            <w:r w:rsidRPr="00025C8D">
              <w:rPr>
                <w:sz w:val="16"/>
                <w:szCs w:val="16"/>
                <w:lang w:val="en-GB"/>
              </w:rPr>
              <w:t>,-</w:t>
            </w:r>
          </w:p>
        </w:tc>
      </w:tr>
    </w:tbl>
    <w:p w:rsidR="007A5C8C" w:rsidRDefault="007A5C8C" w:rsidP="0050648F">
      <w:pPr>
        <w:pStyle w:val="Standaard1"/>
        <w:rPr>
          <w:color w:val="FF0000"/>
          <w:sz w:val="20"/>
          <w:szCs w:val="20"/>
          <w:lang w:val="en-GB"/>
        </w:rPr>
      </w:pPr>
    </w:p>
    <w:p w:rsidR="0050648F" w:rsidRPr="0050648F" w:rsidRDefault="0050648F" w:rsidP="0050648F">
      <w:pPr>
        <w:pStyle w:val="Standaard1"/>
        <w:rPr>
          <w:sz w:val="20"/>
          <w:szCs w:val="20"/>
          <w:lang w:val="en-GB"/>
        </w:rPr>
      </w:pPr>
      <w:r w:rsidRPr="0050648F">
        <w:rPr>
          <w:color w:val="FF0000"/>
          <w:sz w:val="20"/>
          <w:szCs w:val="20"/>
          <w:lang w:val="en-GB"/>
        </w:rPr>
        <w:t>Extra option: 1 hour E-learning  € 25,- per hour/ 100 hours in total</w:t>
      </w:r>
    </w:p>
    <w:p w:rsidR="0050648F" w:rsidRPr="0050648F" w:rsidRDefault="0050648F" w:rsidP="0050648F">
      <w:pPr>
        <w:pStyle w:val="Standaard1"/>
        <w:rPr>
          <w:sz w:val="16"/>
          <w:szCs w:val="16"/>
          <w:lang w:val="en-GB"/>
        </w:rPr>
      </w:pPr>
    </w:p>
    <w:p w:rsidR="007A28C1" w:rsidRPr="0050648F" w:rsidRDefault="007A28C1" w:rsidP="007A28C1">
      <w:pPr>
        <w:ind w:left="720"/>
        <w:rPr>
          <w:lang w:val="en-GB"/>
        </w:rPr>
      </w:pPr>
      <w:r w:rsidRPr="0050648F">
        <w:rPr>
          <w:lang w:val="en-GB"/>
        </w:rPr>
        <w:t>The course aim</w:t>
      </w:r>
      <w:r w:rsidR="00BF7F17">
        <w:rPr>
          <w:lang w:val="en-GB"/>
        </w:rPr>
        <w:t xml:space="preserve"> is to reach level A1/A2</w:t>
      </w:r>
      <w:r w:rsidRPr="0050648F">
        <w:rPr>
          <w:lang w:val="en-GB"/>
        </w:rPr>
        <w:t>. During the course, you will cover the four skills of listening, reading, writing and speaking. Our excellent teachers will also familiarise you with Dutch customs and manners. The following themes will be covered: getting to know each other, talking about relatives, daily life, inviting people, (grocery) shopping, and ordering in a bar or restaurant.</w:t>
      </w:r>
    </w:p>
    <w:p w:rsidR="007A28C1" w:rsidRPr="0050648F" w:rsidRDefault="007A28C1" w:rsidP="007A28C1">
      <w:pPr>
        <w:ind w:left="720"/>
        <w:rPr>
          <w:lang w:val="en-GB"/>
        </w:rPr>
      </w:pPr>
      <w:r w:rsidRPr="0050648F">
        <w:rPr>
          <w:lang w:val="en-GB"/>
        </w:rPr>
        <w:t xml:space="preserve">Dutch is a Germanic language that is spoken by approximately 23 million people world-wide. Most of these live in the Netherlands and in Belgium, but Dutch is also spoken in Suriname and on the Dutch Antilles. </w:t>
      </w:r>
    </w:p>
    <w:p w:rsidR="007A28C1" w:rsidRPr="0050648F" w:rsidRDefault="007A28C1" w:rsidP="007A28C1">
      <w:pPr>
        <w:ind w:left="720"/>
        <w:rPr>
          <w:lang w:val="en-GB"/>
        </w:rPr>
      </w:pPr>
      <w:r w:rsidRPr="0050648F">
        <w:rPr>
          <w:lang w:val="en-GB"/>
        </w:rPr>
        <w:t>Dutch language level 1 is designed for beginners and gives you the opportunity to learn the basics of Dutch fast and well.</w:t>
      </w:r>
    </w:p>
    <w:p w:rsidR="007A28C1" w:rsidRPr="0050648F" w:rsidRDefault="007A28C1" w:rsidP="007A28C1">
      <w:pPr>
        <w:ind w:left="720"/>
        <w:rPr>
          <w:lang w:val="en-GB"/>
        </w:rPr>
      </w:pPr>
    </w:p>
    <w:p w:rsidR="007A28C1" w:rsidRPr="0050648F" w:rsidRDefault="007A28C1" w:rsidP="007A28C1">
      <w:pPr>
        <w:ind w:left="720"/>
        <w:rPr>
          <w:rFonts w:ascii="Arial" w:hAnsi="Arial" w:cs="Arial"/>
          <w:b/>
          <w:bCs/>
          <w:color w:val="4A80CF"/>
          <w:shd w:val="clear" w:color="auto" w:fill="FFFFFF"/>
          <w:lang w:val="en-GB"/>
        </w:rPr>
      </w:pPr>
      <w:r w:rsidRPr="0050648F">
        <w:rPr>
          <w:rFonts w:ascii="Arial" w:hAnsi="Arial" w:cs="Arial"/>
          <w:b/>
          <w:bCs/>
          <w:color w:val="4A80CF"/>
          <w:shd w:val="clear" w:color="auto" w:fill="FFFFFF"/>
          <w:lang w:val="en-GB"/>
        </w:rPr>
        <w:t>The A2 course in Dutch offers you the opportunity to learn the Dutch language fast and well. The course aim is to reach level A2/B1. It covers the four skills of listening, reading, writing and speaking. During the course you will also become more familiar with Dutch customs and manners. If you are looking to become a more proficient user of Dutch, this is the course for you!</w:t>
      </w:r>
    </w:p>
    <w:p w:rsidR="007A28C1" w:rsidRPr="0050648F" w:rsidRDefault="007A28C1" w:rsidP="007A28C1">
      <w:pPr>
        <w:ind w:left="720"/>
        <w:rPr>
          <w:rFonts w:ascii="Arial" w:hAnsi="Arial" w:cs="Arial"/>
          <w:b/>
          <w:bCs/>
          <w:color w:val="4A80CF"/>
          <w:shd w:val="clear" w:color="auto" w:fill="FFFFFF"/>
          <w:lang w:val="en-GB"/>
        </w:rPr>
      </w:pPr>
    </w:p>
    <w:p w:rsidR="0050648F" w:rsidRPr="0050648F" w:rsidRDefault="007A28C1" w:rsidP="0050648F">
      <w:pPr>
        <w:ind w:left="720"/>
        <w:rPr>
          <w:rFonts w:ascii="Arial" w:hAnsi="Arial" w:cs="Arial"/>
          <w:b/>
          <w:lang w:val="en-GB"/>
        </w:rPr>
      </w:pPr>
      <w:r w:rsidRPr="0050648F">
        <w:rPr>
          <w:rFonts w:ascii="Arial" w:hAnsi="Arial" w:cs="Arial"/>
          <w:shd w:val="clear" w:color="auto" w:fill="FFFFFF"/>
          <w:lang w:val="en-GB"/>
        </w:rPr>
        <w:t>The following themes will be covered: holidays, spare time, transportation, nature and landscape, eating and drinking, environment, safety and health, economics and work, and science.</w:t>
      </w:r>
      <w:r w:rsidRPr="0050648F">
        <w:rPr>
          <w:b/>
          <w:lang w:val="en-GB"/>
        </w:rPr>
        <w:br/>
      </w:r>
      <w:bookmarkStart w:id="0" w:name="_GoBack"/>
      <w:bookmarkEnd w:id="0"/>
    </w:p>
    <w:sectPr w:rsidR="0050648F" w:rsidRPr="0050648F" w:rsidSect="003356BF">
      <w:headerReference w:type="default" r:id="rId8"/>
      <w:footerReference w:type="default" r:id="rId9"/>
      <w:pgSz w:w="11906" w:h="16838"/>
      <w:pgMar w:top="1417" w:right="1417" w:bottom="1417" w:left="1417" w:header="708"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C76" w:rsidRDefault="00A83C76" w:rsidP="003356BF">
      <w:r>
        <w:separator/>
      </w:r>
    </w:p>
  </w:endnote>
  <w:endnote w:type="continuationSeparator" w:id="0">
    <w:p w:rsidR="00A83C76" w:rsidRDefault="00A83C76" w:rsidP="003356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8C1" w:rsidRPr="007A28C1" w:rsidRDefault="007A28C1">
    <w:pPr>
      <w:pStyle w:val="Standaard1"/>
      <w:tabs>
        <w:tab w:val="center" w:pos="4536"/>
        <w:tab w:val="right" w:pos="9072"/>
      </w:tabs>
      <w:jc w:val="center"/>
      <w:rPr>
        <w:color w:val="4F81BD"/>
        <w:sz w:val="18"/>
        <w:szCs w:val="18"/>
        <w:lang w:val="en-GB"/>
      </w:rPr>
    </w:pPr>
  </w:p>
  <w:p w:rsidR="003356BF" w:rsidRDefault="006E5B42">
    <w:pPr>
      <w:pStyle w:val="Standaard1"/>
      <w:tabs>
        <w:tab w:val="center" w:pos="4536"/>
        <w:tab w:val="right" w:pos="9072"/>
      </w:tabs>
      <w:jc w:val="center"/>
      <w:rPr>
        <w:color w:val="4F81BD"/>
        <w:sz w:val="18"/>
        <w:szCs w:val="18"/>
      </w:rPr>
    </w:pPr>
    <w:r>
      <w:rPr>
        <w:color w:val="4F81BD"/>
        <w:sz w:val="18"/>
        <w:szCs w:val="18"/>
      </w:rPr>
      <w:t xml:space="preserve">Groenstraat 139-155            5021 LL  Tilburg             T:013-5362101            E:info@bogaerstalen.nl                                </w:t>
    </w:r>
  </w:p>
  <w:p w:rsidR="00A16B02" w:rsidRPr="00A16B02" w:rsidRDefault="00A16B02">
    <w:pPr>
      <w:pStyle w:val="Standaard1"/>
      <w:tabs>
        <w:tab w:val="center" w:pos="4536"/>
        <w:tab w:val="right" w:pos="9072"/>
      </w:tabs>
      <w:jc w:val="center"/>
      <w:rPr>
        <w:sz w:val="16"/>
        <w:szCs w:val="16"/>
      </w:rPr>
    </w:pPr>
    <w:r w:rsidRPr="00A16B02">
      <w:rPr>
        <w:color w:val="4F81BD" w:themeColor="accent1"/>
        <w:sz w:val="16"/>
        <w:szCs w:val="16"/>
      </w:rPr>
      <w:t>HB 2017 – G.1. Voortraject Lesrooster – roosters</w:t>
    </w:r>
  </w:p>
  <w:p w:rsidR="003356BF" w:rsidRDefault="003356BF">
    <w:pPr>
      <w:pStyle w:val="Standaard1"/>
      <w:tabs>
        <w:tab w:val="center" w:pos="4536"/>
        <w:tab w:val="right" w:pos="9072"/>
      </w:tabs>
      <w:spacing w:after="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C76" w:rsidRDefault="00A83C76" w:rsidP="003356BF">
      <w:r>
        <w:separator/>
      </w:r>
    </w:p>
  </w:footnote>
  <w:footnote w:type="continuationSeparator" w:id="0">
    <w:p w:rsidR="00A83C76" w:rsidRDefault="00A83C76" w:rsidP="003356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BF" w:rsidRDefault="006E5B42">
    <w:pPr>
      <w:pStyle w:val="Standaard1"/>
      <w:tabs>
        <w:tab w:val="center" w:pos="4536"/>
        <w:tab w:val="right" w:pos="9072"/>
      </w:tabs>
      <w:spacing w:before="708"/>
    </w:pPr>
    <w:r>
      <w:rPr>
        <w:noProof/>
        <w:lang w:eastAsia="ja-JP"/>
      </w:rPr>
      <w:drawing>
        <wp:anchor distT="0" distB="0" distL="114300" distR="114300" simplePos="0" relativeHeight="251658240" behindDoc="0" locked="0" layoutInCell="0" allowOverlap="1">
          <wp:simplePos x="0" y="0"/>
          <wp:positionH relativeFrom="margin">
            <wp:posOffset>1826260</wp:posOffset>
          </wp:positionH>
          <wp:positionV relativeFrom="paragraph">
            <wp:posOffset>-351154</wp:posOffset>
          </wp:positionV>
          <wp:extent cx="1908175" cy="57658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908175" cy="57658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0C0DEA"/>
    <w:multiLevelType w:val="hybridMultilevel"/>
    <w:tmpl w:val="5418880E"/>
    <w:lvl w:ilvl="0" w:tplc="45180A52">
      <w:numFmt w:val="bullet"/>
      <w:lvlText w:val="-"/>
      <w:lvlJc w:val="left"/>
      <w:pPr>
        <w:ind w:left="645" w:hanging="360"/>
      </w:pPr>
      <w:rPr>
        <w:rFonts w:ascii="Calibri" w:eastAsia="Calibri" w:hAnsi="Calibri" w:cs="Calibri"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3356BF"/>
    <w:rsid w:val="00025C8D"/>
    <w:rsid w:val="00052437"/>
    <w:rsid w:val="00053D5A"/>
    <w:rsid w:val="00075AB5"/>
    <w:rsid w:val="00087726"/>
    <w:rsid w:val="000D2BBB"/>
    <w:rsid w:val="00125876"/>
    <w:rsid w:val="0013439E"/>
    <w:rsid w:val="0013744F"/>
    <w:rsid w:val="00146E42"/>
    <w:rsid w:val="00186E6A"/>
    <w:rsid w:val="001B1DDC"/>
    <w:rsid w:val="001D5386"/>
    <w:rsid w:val="00202B50"/>
    <w:rsid w:val="002205BC"/>
    <w:rsid w:val="00267E54"/>
    <w:rsid w:val="002A4444"/>
    <w:rsid w:val="002B4C19"/>
    <w:rsid w:val="002E7FE8"/>
    <w:rsid w:val="00307ADB"/>
    <w:rsid w:val="003356BF"/>
    <w:rsid w:val="0035621C"/>
    <w:rsid w:val="00364C57"/>
    <w:rsid w:val="003B025B"/>
    <w:rsid w:val="003B0816"/>
    <w:rsid w:val="0042043B"/>
    <w:rsid w:val="00485DD9"/>
    <w:rsid w:val="004A452B"/>
    <w:rsid w:val="004C694E"/>
    <w:rsid w:val="004C7502"/>
    <w:rsid w:val="004F5918"/>
    <w:rsid w:val="0050648F"/>
    <w:rsid w:val="0051458B"/>
    <w:rsid w:val="005F33D3"/>
    <w:rsid w:val="00660A3C"/>
    <w:rsid w:val="006D0616"/>
    <w:rsid w:val="006D706B"/>
    <w:rsid w:val="006E5B42"/>
    <w:rsid w:val="00757F4B"/>
    <w:rsid w:val="00763CAD"/>
    <w:rsid w:val="007807D9"/>
    <w:rsid w:val="007A28C1"/>
    <w:rsid w:val="007A5C8C"/>
    <w:rsid w:val="007B5843"/>
    <w:rsid w:val="007C12DF"/>
    <w:rsid w:val="007D60AD"/>
    <w:rsid w:val="007E6041"/>
    <w:rsid w:val="00830CE4"/>
    <w:rsid w:val="008D1D85"/>
    <w:rsid w:val="008F166C"/>
    <w:rsid w:val="009729A6"/>
    <w:rsid w:val="009A6C61"/>
    <w:rsid w:val="009B4FDD"/>
    <w:rsid w:val="00A16B02"/>
    <w:rsid w:val="00A26B7A"/>
    <w:rsid w:val="00A302BA"/>
    <w:rsid w:val="00A513B4"/>
    <w:rsid w:val="00A83C76"/>
    <w:rsid w:val="00AD4395"/>
    <w:rsid w:val="00AE626D"/>
    <w:rsid w:val="00B02FB9"/>
    <w:rsid w:val="00B31A7B"/>
    <w:rsid w:val="00B440AD"/>
    <w:rsid w:val="00B70023"/>
    <w:rsid w:val="00B81BDE"/>
    <w:rsid w:val="00BB386D"/>
    <w:rsid w:val="00BB4A3A"/>
    <w:rsid w:val="00BF294F"/>
    <w:rsid w:val="00BF5426"/>
    <w:rsid w:val="00BF7F17"/>
    <w:rsid w:val="00C60DD9"/>
    <w:rsid w:val="00C862D1"/>
    <w:rsid w:val="00CC3BDF"/>
    <w:rsid w:val="00CF4C15"/>
    <w:rsid w:val="00D07EA2"/>
    <w:rsid w:val="00D21E17"/>
    <w:rsid w:val="00D25FE1"/>
    <w:rsid w:val="00D4002A"/>
    <w:rsid w:val="00D510DB"/>
    <w:rsid w:val="00D62305"/>
    <w:rsid w:val="00D95E9B"/>
    <w:rsid w:val="00DB4467"/>
    <w:rsid w:val="00DB7370"/>
    <w:rsid w:val="00E1343C"/>
    <w:rsid w:val="00E26FAA"/>
    <w:rsid w:val="00E400A6"/>
    <w:rsid w:val="00EF6402"/>
    <w:rsid w:val="00F10BD9"/>
    <w:rsid w:val="00F41DF0"/>
    <w:rsid w:val="00F43CE2"/>
    <w:rsid w:val="00F62553"/>
    <w:rsid w:val="00FE1864"/>
    <w:rsid w:val="00FE36BD"/>
    <w:rsid w:val="00FF7112"/>
  </w:rsids>
  <m:mathPr>
    <m:mathFont m:val="Cambria Math"/>
    <m:brkBin m:val="before"/>
    <m:brkBinSub m:val="--"/>
    <m:smallFrac m:val="off"/>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nl-NL" w:eastAsia="nl-N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3439E"/>
  </w:style>
  <w:style w:type="paragraph" w:styleId="Kop1">
    <w:name w:val="heading 1"/>
    <w:basedOn w:val="Standaard1"/>
    <w:next w:val="Standaard1"/>
    <w:rsid w:val="003356BF"/>
    <w:pPr>
      <w:keepNext/>
      <w:keepLines/>
      <w:spacing w:before="480" w:after="120"/>
      <w:contextualSpacing/>
      <w:outlineLvl w:val="0"/>
    </w:pPr>
    <w:rPr>
      <w:b/>
      <w:sz w:val="48"/>
      <w:szCs w:val="48"/>
    </w:rPr>
  </w:style>
  <w:style w:type="paragraph" w:styleId="Kop2">
    <w:name w:val="heading 2"/>
    <w:basedOn w:val="Standaard1"/>
    <w:next w:val="Standaard1"/>
    <w:rsid w:val="003356BF"/>
    <w:pPr>
      <w:keepNext/>
      <w:keepLines/>
      <w:spacing w:before="200"/>
      <w:outlineLvl w:val="1"/>
    </w:pPr>
    <w:rPr>
      <w:rFonts w:ascii="Cambria" w:eastAsia="Cambria" w:hAnsi="Cambria" w:cs="Cambria"/>
      <w:b/>
      <w:color w:val="4F81BD"/>
      <w:sz w:val="26"/>
      <w:szCs w:val="26"/>
    </w:rPr>
  </w:style>
  <w:style w:type="paragraph" w:styleId="Kop3">
    <w:name w:val="heading 3"/>
    <w:basedOn w:val="Standaard1"/>
    <w:next w:val="Standaard1"/>
    <w:rsid w:val="003356BF"/>
    <w:pPr>
      <w:keepNext/>
      <w:keepLines/>
      <w:spacing w:before="280" w:after="80"/>
      <w:contextualSpacing/>
      <w:outlineLvl w:val="2"/>
    </w:pPr>
    <w:rPr>
      <w:b/>
      <w:sz w:val="28"/>
      <w:szCs w:val="28"/>
    </w:rPr>
  </w:style>
  <w:style w:type="paragraph" w:styleId="Kop4">
    <w:name w:val="heading 4"/>
    <w:basedOn w:val="Standaard1"/>
    <w:next w:val="Standaard1"/>
    <w:rsid w:val="003356BF"/>
    <w:pPr>
      <w:keepNext/>
      <w:keepLines/>
      <w:spacing w:before="240" w:after="40"/>
      <w:contextualSpacing/>
      <w:outlineLvl w:val="3"/>
    </w:pPr>
    <w:rPr>
      <w:b/>
      <w:sz w:val="24"/>
      <w:szCs w:val="24"/>
    </w:rPr>
  </w:style>
  <w:style w:type="paragraph" w:styleId="Kop5">
    <w:name w:val="heading 5"/>
    <w:basedOn w:val="Standaard1"/>
    <w:next w:val="Standaard1"/>
    <w:rsid w:val="003356BF"/>
    <w:pPr>
      <w:keepNext/>
      <w:keepLines/>
      <w:spacing w:before="220" w:after="40"/>
      <w:contextualSpacing/>
      <w:outlineLvl w:val="4"/>
    </w:pPr>
    <w:rPr>
      <w:b/>
    </w:rPr>
  </w:style>
  <w:style w:type="paragraph" w:styleId="Kop6">
    <w:name w:val="heading 6"/>
    <w:basedOn w:val="Standaard1"/>
    <w:next w:val="Standaard1"/>
    <w:rsid w:val="003356BF"/>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3356BF"/>
  </w:style>
  <w:style w:type="table" w:customStyle="1" w:styleId="TableNormal1">
    <w:name w:val="Table Normal1"/>
    <w:rsid w:val="003356BF"/>
    <w:tblPr>
      <w:tblCellMar>
        <w:top w:w="0" w:type="dxa"/>
        <w:left w:w="0" w:type="dxa"/>
        <w:bottom w:w="0" w:type="dxa"/>
        <w:right w:w="0" w:type="dxa"/>
      </w:tblCellMar>
    </w:tblPr>
  </w:style>
  <w:style w:type="paragraph" w:styleId="Titel">
    <w:name w:val="Title"/>
    <w:basedOn w:val="Standaard1"/>
    <w:next w:val="Standaard1"/>
    <w:rsid w:val="003356BF"/>
    <w:pPr>
      <w:keepNext/>
      <w:keepLines/>
      <w:spacing w:before="480" w:after="120"/>
      <w:contextualSpacing/>
    </w:pPr>
    <w:rPr>
      <w:b/>
      <w:sz w:val="72"/>
      <w:szCs w:val="72"/>
    </w:rPr>
  </w:style>
  <w:style w:type="paragraph" w:styleId="Subtitel">
    <w:name w:val="Subtitle"/>
    <w:basedOn w:val="Standaard1"/>
    <w:next w:val="Standaard1"/>
    <w:rsid w:val="003356BF"/>
    <w:pPr>
      <w:keepNext/>
      <w:keepLines/>
      <w:spacing w:before="360" w:after="80"/>
      <w:contextualSpacing/>
    </w:pPr>
    <w:rPr>
      <w:rFonts w:ascii="Georgia" w:eastAsia="Georgia" w:hAnsi="Georgia" w:cs="Georgia"/>
      <w:i/>
      <w:color w:val="666666"/>
      <w:sz w:val="48"/>
      <w:szCs w:val="48"/>
    </w:rPr>
  </w:style>
  <w:style w:type="table" w:customStyle="1" w:styleId="a">
    <w:basedOn w:val="TableNormal1"/>
    <w:rsid w:val="003356BF"/>
    <w:pPr>
      <w:contextualSpacing/>
    </w:pPr>
    <w:tblPr>
      <w:tblStyleRowBandSize w:val="1"/>
      <w:tblStyleColBandSize w:val="1"/>
      <w:tblCellMar>
        <w:top w:w="0" w:type="dxa"/>
        <w:left w:w="115" w:type="dxa"/>
        <w:bottom w:w="0" w:type="dxa"/>
        <w:right w:w="115" w:type="dxa"/>
      </w:tblCellMar>
    </w:tblPr>
    <w:tblStylePr w:type="firstRow">
      <w:pPr>
        <w:spacing w:before="0" w:after="0" w:line="240" w:lineRule="auto"/>
      </w:pPr>
      <w:rPr>
        <w:b/>
      </w:rPr>
      <w:tblPr/>
      <w:tcPr>
        <w:shd w:val="clear" w:color="auto" w:fill="4F81BD"/>
        <w:tcMar>
          <w:top w:w="0" w:type="nil"/>
          <w:left w:w="115" w:type="dxa"/>
          <w:bottom w:w="0" w:type="nil"/>
          <w:right w:w="115" w:type="dxa"/>
        </w:tcMar>
      </w:tcPr>
    </w:tblStylePr>
    <w:tblStylePr w:type="lastRow">
      <w:pPr>
        <w:spacing w:before="0" w:after="0" w:line="240" w:lineRule="auto"/>
      </w:pPr>
      <w:rPr>
        <w:b/>
      </w:rPr>
      <w:tblPr/>
      <w:tcPr>
        <w:tcBorders>
          <w:top w:val="single" w:sz="6"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tblStylePr w:type="band1Horz">
      <w:pPr>
        <w:contextualSpacing/>
      </w:pPr>
      <w:tblPr/>
      <w:tcPr>
        <w:tcBorders>
          <w:top w:val="single" w:sz="8" w:space="0" w:color="4F81BD"/>
          <w:left w:val="single" w:sz="8" w:space="0" w:color="4F81BD"/>
          <w:bottom w:val="single" w:sz="8" w:space="0" w:color="4F81BD"/>
          <w:right w:val="single" w:sz="8" w:space="0" w:color="4F81BD"/>
        </w:tcBorders>
        <w:tcMar>
          <w:top w:w="0" w:type="nil"/>
          <w:left w:w="115" w:type="dxa"/>
          <w:bottom w:w="0" w:type="nil"/>
          <w:right w:w="115" w:type="dxa"/>
        </w:tcMar>
      </w:tcPr>
    </w:tblStylePr>
  </w:style>
  <w:style w:type="paragraph" w:styleId="Koptekst">
    <w:name w:val="header"/>
    <w:basedOn w:val="Standaard"/>
    <w:link w:val="KoptekstChar"/>
    <w:uiPriority w:val="99"/>
    <w:unhideWhenUsed/>
    <w:rsid w:val="00025C8D"/>
    <w:pPr>
      <w:tabs>
        <w:tab w:val="center" w:pos="4536"/>
        <w:tab w:val="right" w:pos="9072"/>
      </w:tabs>
    </w:pPr>
  </w:style>
  <w:style w:type="character" w:customStyle="1" w:styleId="KoptekstChar">
    <w:name w:val="Koptekst Char"/>
    <w:basedOn w:val="Standaardalinea-lettertype"/>
    <w:link w:val="Koptekst"/>
    <w:uiPriority w:val="99"/>
    <w:rsid w:val="00025C8D"/>
  </w:style>
  <w:style w:type="paragraph" w:styleId="Voettekst">
    <w:name w:val="footer"/>
    <w:basedOn w:val="Standaard"/>
    <w:link w:val="VoettekstChar"/>
    <w:uiPriority w:val="99"/>
    <w:unhideWhenUsed/>
    <w:rsid w:val="00025C8D"/>
    <w:pPr>
      <w:tabs>
        <w:tab w:val="center" w:pos="4536"/>
        <w:tab w:val="right" w:pos="9072"/>
      </w:tabs>
    </w:pPr>
  </w:style>
  <w:style w:type="character" w:customStyle="1" w:styleId="VoettekstChar">
    <w:name w:val="Voettekst Char"/>
    <w:basedOn w:val="Standaardalinea-lettertype"/>
    <w:link w:val="Voettekst"/>
    <w:uiPriority w:val="99"/>
    <w:rsid w:val="00025C8D"/>
  </w:style>
  <w:style w:type="paragraph" w:styleId="Ballontekst">
    <w:name w:val="Balloon Text"/>
    <w:basedOn w:val="Standaard"/>
    <w:link w:val="BallontekstChar"/>
    <w:uiPriority w:val="99"/>
    <w:semiHidden/>
    <w:unhideWhenUsed/>
    <w:rsid w:val="009B4F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B4FD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17511-FBC1-41C1-AF9C-0B69ADD9B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308</Words>
  <Characters>1699</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Bogaers Talen</dc:creator>
  <cp:lastModifiedBy>Bogaers Talen</cp:lastModifiedBy>
  <cp:revision>3</cp:revision>
  <cp:lastPrinted>2017-10-18T17:55:00Z</cp:lastPrinted>
  <dcterms:created xsi:type="dcterms:W3CDTF">2018-02-26T13:24:00Z</dcterms:created>
  <dcterms:modified xsi:type="dcterms:W3CDTF">2018-04-09T13:46:00Z</dcterms:modified>
</cp:coreProperties>
</file>